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5C00FA" w:rsidRPr="00644B18" w:rsidRDefault="005C4A0D" w:rsidP="005C00FA">
      <w:p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>Процедура 3.</w:t>
      </w:r>
      <w:r w:rsidR="005C00FA">
        <w:rPr>
          <w:b/>
          <w:sz w:val="30"/>
          <w:szCs w:val="30"/>
        </w:rPr>
        <w:t>16</w:t>
      </w:r>
      <w:r w:rsidR="008E0897" w:rsidRPr="008E0897">
        <w:rPr>
          <w:b/>
          <w:sz w:val="30"/>
          <w:szCs w:val="30"/>
        </w:rPr>
        <w:t>.</w:t>
      </w:r>
      <w:r w:rsidR="005C00FA">
        <w:rPr>
          <w:b/>
          <w:sz w:val="30"/>
          <w:szCs w:val="30"/>
        </w:rPr>
        <w:t>8</w:t>
      </w:r>
      <w:r w:rsidR="008E0897" w:rsidRPr="008E0897">
        <w:rPr>
          <w:b/>
          <w:sz w:val="30"/>
          <w:szCs w:val="30"/>
        </w:rPr>
        <w:t xml:space="preserve">. </w:t>
      </w:r>
      <w:r w:rsidR="005C00FA" w:rsidRPr="00644B18">
        <w:rPr>
          <w:b/>
          <w:sz w:val="30"/>
          <w:szCs w:val="30"/>
          <w:lang w:val="be-BY"/>
        </w:rPr>
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</w:p>
    <w:p w:rsidR="008E0897" w:rsidRPr="005C00FA" w:rsidRDefault="008E0897" w:rsidP="00C81F75">
      <w:pPr>
        <w:spacing w:line="280" w:lineRule="exact"/>
        <w:jc w:val="both"/>
        <w:rPr>
          <w:b/>
          <w:bCs/>
          <w:sz w:val="30"/>
          <w:szCs w:val="30"/>
          <w:lang w:val="be-BY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5C00FA" w:rsidRDefault="005C00FA" w:rsidP="005C00FA">
            <w:pPr>
              <w:ind w:left="113" w:right="140"/>
              <w:jc w:val="both"/>
              <w:rPr>
                <w:szCs w:val="30"/>
                <w:lang w:val="be-BY"/>
              </w:rPr>
            </w:pPr>
            <w:r w:rsidRPr="005C00FA">
              <w:rPr>
                <w:szCs w:val="30"/>
                <w:lang w:val="be-BY"/>
              </w:rPr>
      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C4A0D" w:rsidRDefault="008E0897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5C00FA" w:rsidRPr="005C00FA" w:rsidRDefault="005C00FA" w:rsidP="005C00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C00FA">
              <w:rPr>
                <w:szCs w:val="30"/>
              </w:rPr>
              <w:t>сведения о проектируемой оптоволоконной линии связи (за исключением расположенных внутри капитальных строений (зданий, сооружений) и абонентских линий электросвязи)</w:t>
            </w:r>
          </w:p>
          <w:p w:rsidR="005C00FA" w:rsidRPr="005C00FA" w:rsidRDefault="005C00FA" w:rsidP="005C00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rPr>
                <w:szCs w:val="30"/>
              </w:rPr>
              <w:t xml:space="preserve"> </w:t>
            </w:r>
            <w:r w:rsidRPr="005C00FA">
              <w:rPr>
                <w:szCs w:val="30"/>
              </w:rPr>
              <w:t>документ, подтверж</w:t>
            </w:r>
            <w:r>
              <w:rPr>
                <w:szCs w:val="30"/>
              </w:rPr>
              <w:t xml:space="preserve">дающий внесение платы за услуги </w:t>
            </w:r>
            <w:r w:rsidRPr="005C00FA">
              <w:rPr>
                <w:szCs w:val="30"/>
              </w:rPr>
              <w:t>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  <w:p w:rsidR="005C00FA" w:rsidRPr="005C00FA" w:rsidRDefault="005C00FA" w:rsidP="005C00FA">
            <w:pPr>
              <w:ind w:left="113" w:right="140"/>
              <w:jc w:val="both"/>
              <w:rPr>
                <w:b/>
                <w:color w:val="0000FF"/>
              </w:rPr>
            </w:pPr>
            <w:hyperlink r:id="rId5" w:history="1">
              <w:r w:rsidRPr="005C00FA">
                <w:rPr>
                  <w:rStyle w:val="a5"/>
                  <w:b/>
                </w:rPr>
                <w:t>https://pravo.by</w:t>
              </w:r>
              <w:r w:rsidRPr="005C00FA">
                <w:rPr>
                  <w:rStyle w:val="a5"/>
                  <w:b/>
                </w:rPr>
                <w:t>/</w:t>
              </w:r>
              <w:r w:rsidRPr="005C00FA">
                <w:rPr>
                  <w:rStyle w:val="a5"/>
                  <w:b/>
                </w:rPr>
                <w:t>document/?guid=3871&amp;p0=W22238388</w:t>
              </w:r>
            </w:hyperlink>
          </w:p>
          <w:p w:rsidR="005C4A0D" w:rsidRPr="005C4A0D" w:rsidRDefault="005C4A0D" w:rsidP="005C00FA">
            <w:pPr>
              <w:pStyle w:val="a6"/>
              <w:spacing w:before="0" w:beforeAutospacing="0" w:after="0" w:afterAutospacing="0"/>
              <w:ind w:left="112" w:right="140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A1618E" w:rsidP="00092030">
            <w:pPr>
              <w:ind w:left="113" w:right="142"/>
              <w:jc w:val="both"/>
            </w:pPr>
            <w:r>
              <w:rPr>
                <w:b/>
              </w:rPr>
              <w:t>Сиденко</w:t>
            </w:r>
            <w:r w:rsidR="008E0897" w:rsidRPr="00776BC7">
              <w:rPr>
                <w:b/>
              </w:rPr>
              <w:t xml:space="preserve"> Дарья Сергеевна</w:t>
            </w:r>
            <w:r w:rsidR="008E089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8E0897" w:rsidRPr="00776BC7">
              <w:rPr>
                <w:b/>
              </w:rPr>
              <w:t>Дреко</w:t>
            </w:r>
            <w:proofErr w:type="spellEnd"/>
            <w:r w:rsidR="008E0897" w:rsidRPr="00776BC7">
              <w:rPr>
                <w:b/>
              </w:rPr>
              <w:t xml:space="preserve"> Лариса Семеновна</w:t>
            </w:r>
            <w:r w:rsidR="008E0897" w:rsidRPr="00130368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</w:t>
            </w:r>
            <w:r w:rsidR="00776BC7">
              <w:t xml:space="preserve">                      </w:t>
            </w:r>
            <w:r>
              <w:t xml:space="preserve">65-68-05,  </w:t>
            </w:r>
            <w:r w:rsidRPr="00435C45">
              <w:t>65-70-31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Размер платы, взимаемой при осуществлении </w:t>
            </w:r>
            <w:r w:rsidRPr="00130368">
              <w:lastRenderedPageBreak/>
              <w:t>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5C00FA" w:rsidP="00551B5F">
            <w:pPr>
              <w:ind w:left="111"/>
            </w:pPr>
            <w:r>
              <w:lastRenderedPageBreak/>
              <w:t>плата за услуги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21886" w:rsidRPr="00521886" w:rsidRDefault="00521886" w:rsidP="00521886">
            <w:pPr>
              <w:pStyle w:val="table10"/>
              <w:spacing w:before="120"/>
              <w:ind w:left="112"/>
              <w:jc w:val="both"/>
              <w:rPr>
                <w:sz w:val="22"/>
              </w:rPr>
            </w:pPr>
            <w:r w:rsidRPr="00521886">
              <w:rPr>
                <w:sz w:val="22"/>
              </w:rPr>
              <w:t>1</w:t>
            </w:r>
            <w:r w:rsidR="005C00FA">
              <w:rPr>
                <w:sz w:val="22"/>
              </w:rPr>
              <w:t>8 рабочих дней</w:t>
            </w:r>
          </w:p>
          <w:p w:rsidR="008E0897" w:rsidRPr="00130368" w:rsidRDefault="008E0897" w:rsidP="00551B5F">
            <w:pPr>
              <w:ind w:left="111" w:right="14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5C00FA" w:rsidP="00551B5F">
            <w:pPr>
              <w:ind w:left="111"/>
            </w:pPr>
            <w:r w:rsidRPr="005C00FA">
              <w:rPr>
                <w:szCs w:val="30"/>
              </w:rPr>
              <w:t>до приемки объекта в эксплуатацию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C4A0D">
            <w:pPr>
              <w:ind w:left="11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092030">
        <w:rPr>
          <w:b/>
          <w:bCs/>
          <w:iCs/>
          <w:sz w:val="28"/>
          <w:szCs w:val="28"/>
        </w:rPr>
        <w:t>3.</w:t>
      </w:r>
      <w:r w:rsidR="005C00FA">
        <w:rPr>
          <w:b/>
          <w:bCs/>
          <w:iCs/>
          <w:sz w:val="28"/>
          <w:szCs w:val="28"/>
        </w:rPr>
        <w:t>16.8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5C00FA" w:rsidRDefault="005C00FA" w:rsidP="00491138">
      <w:pPr>
        <w:jc w:val="center"/>
        <w:rPr>
          <w:sz w:val="28"/>
          <w:szCs w:val="28"/>
        </w:rPr>
      </w:pPr>
    </w:p>
    <w:p w:rsidR="00491138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5C00FA" w:rsidRPr="00042845" w:rsidRDefault="005C00FA" w:rsidP="00491138">
      <w:pPr>
        <w:jc w:val="center"/>
        <w:rPr>
          <w:sz w:val="28"/>
          <w:szCs w:val="28"/>
        </w:rPr>
      </w:pPr>
    </w:p>
    <w:p w:rsidR="005C00FA" w:rsidRDefault="005C00FA" w:rsidP="005C0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выдать разрешение о</w:t>
      </w:r>
      <w:r w:rsidRPr="00777D40">
        <w:rPr>
          <w:sz w:val="28"/>
          <w:szCs w:val="28"/>
        </w:rPr>
        <w:t xml:space="preserve">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  <w:r>
        <w:rPr>
          <w:sz w:val="28"/>
          <w:szCs w:val="28"/>
        </w:rPr>
        <w:t xml:space="preserve"> по объекту: _________________________________________</w:t>
      </w:r>
    </w:p>
    <w:p w:rsidR="005C00FA" w:rsidRDefault="005C00FA" w:rsidP="005C00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5C00FA" w:rsidRDefault="005C00FA" w:rsidP="005C00FA">
      <w:pPr>
        <w:jc w:val="both"/>
        <w:rPr>
          <w:b/>
          <w:szCs w:val="30"/>
        </w:rPr>
      </w:pPr>
    </w:p>
    <w:p w:rsidR="005C00FA" w:rsidRDefault="005C00FA" w:rsidP="005C00FA">
      <w:pPr>
        <w:jc w:val="both"/>
        <w:rPr>
          <w:b/>
          <w:szCs w:val="30"/>
        </w:rPr>
      </w:pPr>
    </w:p>
    <w:p w:rsidR="005C00FA" w:rsidRPr="005C00FA" w:rsidRDefault="005C00FA" w:rsidP="005C00FA">
      <w:pPr>
        <w:jc w:val="both"/>
        <w:rPr>
          <w:b/>
          <w:sz w:val="28"/>
          <w:szCs w:val="30"/>
        </w:rPr>
      </w:pPr>
      <w:r w:rsidRPr="005C00FA">
        <w:rPr>
          <w:b/>
          <w:sz w:val="28"/>
          <w:szCs w:val="30"/>
        </w:rPr>
        <w:t>Перечень прилагаемых документов:</w:t>
      </w:r>
    </w:p>
    <w:p w:rsidR="005C00FA" w:rsidRPr="005C00FA" w:rsidRDefault="005C00FA" w:rsidP="005C00FA">
      <w:pPr>
        <w:numPr>
          <w:ilvl w:val="0"/>
          <w:numId w:val="3"/>
        </w:numPr>
        <w:ind w:left="0" w:firstLine="360"/>
        <w:jc w:val="both"/>
        <w:rPr>
          <w:b/>
          <w:sz w:val="32"/>
          <w:szCs w:val="28"/>
        </w:rPr>
      </w:pPr>
      <w:r w:rsidRPr="005C00FA">
        <w:rPr>
          <w:sz w:val="28"/>
        </w:rPr>
        <w:t>сведения о проектируемой оптоволоконной линии связи (по установленной форме),</w:t>
      </w:r>
    </w:p>
    <w:p w:rsidR="005C00FA" w:rsidRPr="005C00FA" w:rsidRDefault="005C00FA" w:rsidP="005C00FA">
      <w:pPr>
        <w:numPr>
          <w:ilvl w:val="0"/>
          <w:numId w:val="3"/>
        </w:numPr>
        <w:jc w:val="both"/>
        <w:rPr>
          <w:b/>
          <w:sz w:val="32"/>
          <w:szCs w:val="28"/>
        </w:rPr>
      </w:pPr>
      <w:r w:rsidRPr="005C00FA">
        <w:rPr>
          <w:sz w:val="28"/>
        </w:rPr>
        <w:t>документ, подтверждающий внесение платы.</w:t>
      </w:r>
    </w:p>
    <w:p w:rsidR="005C00FA" w:rsidRPr="005C00FA" w:rsidRDefault="005C00FA" w:rsidP="005C00FA">
      <w:pPr>
        <w:ind w:left="720"/>
        <w:jc w:val="both"/>
        <w:rPr>
          <w:b/>
          <w:sz w:val="32"/>
          <w:szCs w:val="28"/>
        </w:rPr>
      </w:pP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E45A0"/>
    <w:multiLevelType w:val="hybridMultilevel"/>
    <w:tmpl w:val="FE3E1D1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130989"/>
    <w:rsid w:val="00135782"/>
    <w:rsid w:val="0017081F"/>
    <w:rsid w:val="00183168"/>
    <w:rsid w:val="00183DE8"/>
    <w:rsid w:val="001D34F2"/>
    <w:rsid w:val="00212F6D"/>
    <w:rsid w:val="00360744"/>
    <w:rsid w:val="003A77B9"/>
    <w:rsid w:val="00410697"/>
    <w:rsid w:val="0042246E"/>
    <w:rsid w:val="00442A65"/>
    <w:rsid w:val="004531E1"/>
    <w:rsid w:val="00491138"/>
    <w:rsid w:val="00521886"/>
    <w:rsid w:val="005C00FA"/>
    <w:rsid w:val="005C4A0D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F0B0E"/>
    <w:rsid w:val="00852C58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DF5CD4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3</cp:revision>
  <cp:lastPrinted>2018-11-26T13:19:00Z</cp:lastPrinted>
  <dcterms:created xsi:type="dcterms:W3CDTF">2022-12-29T09:50:00Z</dcterms:created>
  <dcterms:modified xsi:type="dcterms:W3CDTF">2022-12-29T09:55:00Z</dcterms:modified>
</cp:coreProperties>
</file>